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8AC68" w14:textId="77777777" w:rsidR="00E578B5" w:rsidRDefault="00E578B5" w:rsidP="00E578B5">
      <w:pPr>
        <w:pStyle w:val="a3"/>
        <w:shd w:val="clear" w:color="auto" w:fill="FFFFFF"/>
        <w:spacing w:before="0" w:beforeAutospacing="0"/>
        <w:jc w:val="center"/>
        <w:rPr>
          <w:rFonts w:ascii="Arial" w:hAnsi="Arial"/>
          <w:color w:val="343A40"/>
          <w:sz w:val="23"/>
          <w:szCs w:val="23"/>
        </w:rPr>
      </w:pPr>
      <w:r>
        <w:rPr>
          <w:rFonts w:ascii="Arial" w:hAnsi="Arial"/>
          <w:color w:val="343A40"/>
          <w:sz w:val="23"/>
          <w:szCs w:val="23"/>
        </w:rPr>
        <w:t>Темы курсовой работы</w:t>
      </w:r>
    </w:p>
    <w:p w14:paraId="2EDAEB2C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1.     Современное состояние, значение и особенности развития международного бизнеса.</w:t>
      </w:r>
    </w:p>
    <w:p w14:paraId="1F7CC536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2.     Состояние и перспективы развития международного бизнеса в России</w:t>
      </w:r>
    </w:p>
    <w:p w14:paraId="10A6745F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3.     Пути и проблемы интернационализации российских компаний</w:t>
      </w:r>
    </w:p>
    <w:p w14:paraId="5CCB2C7D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4.     Глобализация рынков: причины и интересы</w:t>
      </w:r>
    </w:p>
    <w:p w14:paraId="7976984A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5.     Глобализация товаров как важнейшее направление глобализации</w:t>
      </w:r>
    </w:p>
    <w:p w14:paraId="55BD49C4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6.     Тенденции и факторы глобализации международного бизнеса</w:t>
      </w:r>
    </w:p>
    <w:p w14:paraId="59C3B9D8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7.     ТНК как «несущая конструкция» глобализации международного бизнеса</w:t>
      </w:r>
    </w:p>
    <w:p w14:paraId="44BD84E9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8.     Особенности развития международного бизнеса в США</w:t>
      </w:r>
    </w:p>
    <w:p w14:paraId="35A0B8A2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9.     Особенности развития международного бизнеса в Японии</w:t>
      </w:r>
    </w:p>
    <w:p w14:paraId="71D7FE75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10.  Особенности развития международного бизнеса в КНР</w:t>
      </w:r>
    </w:p>
    <w:p w14:paraId="0649C605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11.  Особенности развития международного бизнеса в СНГ ( по выбору студента)</w:t>
      </w:r>
    </w:p>
    <w:p w14:paraId="573E5680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12.  Регионально – отраслевые аспекты анализа социокультурного сечения окружающей среды международного бизнеса</w:t>
      </w:r>
    </w:p>
    <w:p w14:paraId="0D895E8B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13.  Регионально – отраслевые аспекты анализа экономического сечения международного бизнеса</w:t>
      </w:r>
    </w:p>
    <w:p w14:paraId="69FCBF81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14.  Английский язык как важнейшее средство коммуникаций в международном бизнесе</w:t>
      </w:r>
    </w:p>
    <w:p w14:paraId="204B9CDE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15.  Проблемы изучения и освоения этики международного бизнеса</w:t>
      </w:r>
    </w:p>
    <w:p w14:paraId="0FCDC4CC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16.  Проблемы защиты прав интеллектуальной собственности в международном бизнесе</w:t>
      </w:r>
    </w:p>
    <w:p w14:paraId="640378E9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17.  Реклама и её роль в международном бизнесе.</w:t>
      </w:r>
    </w:p>
    <w:p w14:paraId="74426253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18.  Роль ярмарок и выставок в продвижении товаров на внешний рынок</w:t>
      </w:r>
    </w:p>
    <w:p w14:paraId="31C308A2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19.  Организация и управление в международном бизнесе</w:t>
      </w:r>
    </w:p>
    <w:p w14:paraId="222EF9B5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20.  Основные направления адаптации товаров на внешнем рынке</w:t>
      </w:r>
    </w:p>
    <w:p w14:paraId="7F2E59D6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21.  Основные пользователи международного бизнеса (на примере отдельно взятой торговой, производственной, сервисной, цифровой компании -по выбору студента)</w:t>
      </w:r>
    </w:p>
    <w:p w14:paraId="303952B7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22.  Торговые марки и фирменные наименования</w:t>
      </w:r>
    </w:p>
    <w:p w14:paraId="22270695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lastRenderedPageBreak/>
        <w:t>23.  Кросс – культурные различия и эффективные международные бизнес- коммуникации</w:t>
      </w:r>
    </w:p>
    <w:p w14:paraId="4E343C46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24.  Анализ конкретной ситуации (разработка кейса) из практики российских или зарубежных компаний, государственных и некоммерческих организаций.</w:t>
      </w:r>
    </w:p>
    <w:p w14:paraId="44F92178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25.  Анализ конкретной ситуации в конкретной отрасли (на национальном или международном уровне) по выбору.</w:t>
      </w:r>
    </w:p>
    <w:p w14:paraId="2485E2D8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26.  Авторский опыт составления бизнес – плана компании.</w:t>
      </w:r>
    </w:p>
    <w:p w14:paraId="3F5C41AD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27.  Сравнительный анализ дизайна и информативности web – сайта известных западной и российской компании</w:t>
      </w:r>
    </w:p>
    <w:p w14:paraId="51504F15" w14:textId="77777777" w:rsidR="00E578B5" w:rsidRDefault="00E578B5" w:rsidP="00E578B5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28.  Сравнительный анализ различных национальных (российской, американской, японской) традиций ведения бизнеса</w:t>
      </w:r>
    </w:p>
    <w:p w14:paraId="3D2446F5" w14:textId="77777777" w:rsidR="00C257C2" w:rsidRDefault="00C257C2"/>
    <w:sectPr w:rsidR="00C2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C2"/>
    <w:rsid w:val="00C257C2"/>
    <w:rsid w:val="00E5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26518-84F7-4206-89CC-B62D1F5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2023-01-23T08:00:00Z</dcterms:created>
  <dcterms:modified xsi:type="dcterms:W3CDTF">2023-01-23T08:00:00Z</dcterms:modified>
</cp:coreProperties>
</file>